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AD" w:rsidRPr="00BD6FAD" w:rsidRDefault="00BD6FAD" w:rsidP="00BD6FAD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b/>
          <w:bCs/>
          <w:color w:val="4B5C6A"/>
          <w:sz w:val="20"/>
          <w:lang w:eastAsia="ru-RU"/>
        </w:rPr>
        <w:t>Հ Ա Շ Վ Ե Տ Վ ՈՒ Թ Յ ՈՒ Ն</w:t>
      </w:r>
    </w:p>
    <w:p w:rsidR="00BD6FAD" w:rsidRPr="00BD6FAD" w:rsidRDefault="00BD6FAD" w:rsidP="00BD6FAD">
      <w:pPr>
        <w:shd w:val="clear" w:color="auto" w:fill="FFFFFF"/>
        <w:spacing w:after="185" w:line="240" w:lineRule="auto"/>
        <w:jc w:val="center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(Տեղեկանք-հիմնավորում)</w:t>
      </w:r>
    </w:p>
    <w:p w:rsidR="00BD6FAD" w:rsidRPr="00BD6FAD" w:rsidRDefault="00AE11FB" w:rsidP="00BD6FAD">
      <w:pPr>
        <w:shd w:val="clear" w:color="auto" w:fill="FFFFFF"/>
        <w:spacing w:after="185" w:line="240" w:lineRule="auto"/>
        <w:jc w:val="center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AE11FB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</w:t>
      </w:r>
      <w:r w:rsidRPr="00AE11FB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22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թվականի բյուջեի կատարման տարեկան</w:t>
      </w: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</w:t>
      </w:r>
    </w:p>
    <w:p w:rsidR="00812BC7" w:rsidRPr="00B160CA" w:rsidRDefault="00AE11FB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AE11FB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20</w:t>
      </w:r>
      <w:r w:rsidRPr="00AE11FB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բյուջեի փաստացի եկամուտները կազմել են </w:t>
      </w:r>
      <w:r w:rsidR="0063227A" w:rsidRPr="0063227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1,993,445.5</w:t>
      </w:r>
      <w:r w:rsidR="00F559D9" w:rsidRPr="00F559D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</w:p>
    <w:p w:rsidR="00BD6FAD" w:rsidRPr="00B160CA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ծրագրված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ճշտված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="0063227A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2,079,031.3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դրամի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նկատմամբ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կամ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կատարողականը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63227A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95.9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։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Ընդ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որում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` </w:t>
      </w:r>
      <w:proofErr w:type="spellStart"/>
      <w:r w:rsidR="0063227A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63227A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</w:t>
      </w:r>
      <w:r w:rsidR="0063227A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թվականի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բյուջեի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վարչական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մասով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ծրագրված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ճշտված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="0063227A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1,824,461.5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եկամուտների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դիմաց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մուտքագրվել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63227A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1,838,406.5</w:t>
      </w:r>
      <w:r w:rsidRPr="00C92E5A">
        <w:rPr>
          <w:rFonts w:ascii="Courier New" w:eastAsia="Times New Roman" w:hAnsi="Courier New" w:cs="Courier New"/>
          <w:color w:val="4B5C6A"/>
          <w:sz w:val="20"/>
          <w:szCs w:val="20"/>
          <w:lang w:val="en-US" w:eastAsia="ru-RU"/>
        </w:rPr>
        <w:t> </w:t>
      </w:r>
      <w:r w:rsidRPr="00B160CA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հազար</w:t>
      </w:r>
      <w:r w:rsidRPr="00B160CA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դրամ՝</w:t>
      </w:r>
      <w:r w:rsidRPr="00B160CA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ապահովելով</w:t>
      </w:r>
      <w:r w:rsidRPr="00B160CA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63227A" w:rsidRPr="00B160CA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100.8</w:t>
      </w:r>
      <w:r w:rsidRPr="00B160CA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%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կատարողական</w:t>
      </w:r>
      <w:r w:rsidRPr="00B160CA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:</w:t>
      </w:r>
    </w:p>
    <w:p w:rsidR="00BD6FAD" w:rsidRPr="00BD6FAD" w:rsidRDefault="001E2989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</w:t>
      </w:r>
      <w:r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</w:t>
      </w:r>
      <w:r w:rsidR="00B30F31" w:rsidRPr="00B30F31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թվականի ճշտված բյուջեով սեփական եկամուտները ծրագրվել են </w:t>
      </w:r>
      <w:r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496,266.1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դրամ, որի դիմաց փաստացի կատարողականը կազմել է </w:t>
      </w:r>
      <w:r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510,211.2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 կամ </w:t>
      </w:r>
      <w:r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102.8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%, որն ավելի է </w:t>
      </w:r>
      <w:r w:rsidR="00152B0C" w:rsidRPr="00152B0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2021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համապատասխան ցուցանիշից </w:t>
      </w:r>
      <w:r w:rsidR="00B30F31" w:rsidRPr="00B30F31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65,530.8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դրամով։</w:t>
      </w:r>
    </w:p>
    <w:p w:rsidR="00BD6FAD" w:rsidRPr="00BD6FAD" w:rsidRDefault="00B30F31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</w:t>
      </w:r>
      <w:r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բյուջեի միջոցների հաշվին իրականացվել է </w:t>
      </w:r>
      <w:r w:rsidR="00640A68" w:rsidRPr="00640A68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1,941,930.9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ծախսեր` կազմելով ճշտված ծրագրի </w:t>
      </w:r>
      <w:r w:rsidR="00640A68" w:rsidRPr="00640A68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86.1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%-ը։ Ծրագրված ցուցանիշների նկատմամբ թերֆինանսավորումները հիմնականում պայմանավորված են գնումների գործընթացում առաջացած խնայողություններով:</w:t>
      </w: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Ստորև ներկայացվում է </w:t>
      </w:r>
      <w:proofErr w:type="spellStart"/>
      <w:r w:rsidR="00640A68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="00640A68"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640A68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="00640A68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</w:t>
      </w:r>
      <w:r w:rsidR="00640A68"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</w:t>
      </w:r>
      <w:r w:rsidR="00640A68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թվականի բյուջեի փաստացի եկամուտների և ծախսերի առավել մանրամասն քանակական և համեմատական վերլուծությունը։</w:t>
      </w: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</w:t>
      </w:r>
    </w:p>
    <w:p w:rsidR="00BD6FAD" w:rsidRPr="00BD6FAD" w:rsidRDefault="00BD6FAD" w:rsidP="00BD6FAD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i/>
          <w:iCs/>
          <w:color w:val="4B5C6A"/>
          <w:sz w:val="20"/>
          <w:lang w:eastAsia="ru-RU"/>
        </w:rPr>
        <w:t>Եկամուտներ</w:t>
      </w: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</w:t>
      </w:r>
      <w:proofErr w:type="spellStart"/>
      <w:r w:rsidR="00640A68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="00640A68"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640A68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="00640A68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</w:t>
      </w:r>
      <w:r w:rsidR="00640A68" w:rsidRPr="001E298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</w:t>
      </w:r>
      <w:r w:rsidR="00640A68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թվականի բյուջեի փաստացի եկամուտների </w:t>
      </w:r>
      <w:r w:rsidR="00640A68" w:rsidRPr="00640A68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17.7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%-ը ձևավորվել է հարկային եկամուտների և տուրքերի հաշվին, որից </w:t>
      </w:r>
      <w:r w:rsidR="00640A68" w:rsidRPr="00640A68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5.0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%-ը` գույքային հարկեր անշար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ժ գույքից, </w:t>
      </w:r>
      <w:r w:rsidR="00640A68" w:rsidRPr="00640A68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11.2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%-ը` գույքային հարկեր այլ գույքից, </w:t>
      </w:r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0.9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%-ը` </w:t>
      </w:r>
      <w:proofErr w:type="spellStart"/>
      <w:r w:rsidR="00717C1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տեղական</w:t>
      </w:r>
      <w:proofErr w:type="spellEnd"/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717C1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տուրքերից</w:t>
      </w:r>
      <w:proofErr w:type="spellEnd"/>
      <w:r w:rsid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, 0.</w:t>
      </w:r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5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%-ը` </w:t>
      </w:r>
      <w:proofErr w:type="spellStart"/>
      <w:r w:rsidR="00717C1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717C1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բյուջե</w:t>
      </w:r>
      <w:proofErr w:type="spellEnd"/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717C1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վճարվող</w:t>
      </w:r>
      <w:proofErr w:type="spellEnd"/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717C1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պետական</w:t>
      </w:r>
      <w:proofErr w:type="spellEnd"/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717C1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տուրքերից</w:t>
      </w:r>
      <w:proofErr w:type="spellEnd"/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։ Հաշվետու ժամանակահատվածում փաստացի եկամուտների </w:t>
      </w:r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74.6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%-ը ձևավորվել է պաշտոնական դրամաշնորհների հաշվին, </w:t>
      </w:r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7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.6%-ը՝ այլ եկամուտների հաշվին, որից  </w:t>
      </w:r>
      <w:r w:rsidR="00717C12" w:rsidRPr="00717C1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2.2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%-ը` գույքի վարձակալության դիմաց եկամուտներից, </w:t>
      </w:r>
      <w:r w:rsidR="00F733F9" w:rsidRPr="00F733F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0.3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%-ը` համայնքի բյուջեի եկամուտներ ապրանքների մատակարարումից և ծառայությունների մատուցումից, </w:t>
      </w:r>
      <w:r w:rsidR="00F733F9" w:rsidRPr="00F733F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5.5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%-ը` վարչական գանձումներից,0.</w:t>
      </w:r>
      <w:r w:rsidR="00F733F9" w:rsidRPr="00F733F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01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%-ը՝ մուտքեր տույժերից և տուգանքներից, </w:t>
      </w:r>
      <w:r w:rsidR="00F733F9" w:rsidRPr="00F733F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0.08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%-ը` այլ եկամուտներից՝ համայնքի գույքին պատճառած վնասների փոխհատուցումից մուտքեր, օրենքով և իրավական այլ ակտերով սահմանված համայնքի բյուջե մոտքագրման ենթակա այլ եկամուտներ։</w:t>
      </w:r>
    </w:p>
    <w:p w:rsidR="00BD6FAD" w:rsidRPr="00BD6FAD" w:rsidRDefault="00BD6FAD" w:rsidP="00BD6FAD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Courier New" w:eastAsia="Times New Roman" w:hAnsi="Courier New" w:cs="Courier New"/>
          <w:b/>
          <w:bCs/>
          <w:color w:val="4B5C6A"/>
          <w:sz w:val="20"/>
          <w:lang w:eastAsia="ru-RU"/>
        </w:rPr>
        <w:t> </w:t>
      </w:r>
    </w:p>
    <w:p w:rsidR="00BD6FAD" w:rsidRPr="00BD6FAD" w:rsidRDefault="00BD6FAD" w:rsidP="00BD6FAD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b/>
          <w:bCs/>
          <w:color w:val="4B5C6A"/>
          <w:sz w:val="20"/>
          <w:lang w:eastAsia="ru-RU"/>
        </w:rPr>
        <w:t>Հարկեր և տուրքեր.</w:t>
      </w:r>
    </w:p>
    <w:p w:rsidR="00B500D2" w:rsidRPr="000076B2" w:rsidRDefault="00B922CD" w:rsidP="00B500D2">
      <w:pPr>
        <w:rPr>
          <w:rFonts w:ascii="GHEA Grapalat" w:eastAsia="Times New Roman" w:hAnsi="GHEA Grapalat" w:cs="Arial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Տեղ</w:t>
      </w:r>
      <w:proofErr w:type="spellEnd"/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ական տուրքերի գծով փաստացի հավաքագրվել է 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18,464.1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դրամ` ծրագրված 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16,542.9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դիմաց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կամ</w:t>
      </w:r>
      <w:proofErr w:type="spellEnd"/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111.6 %,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որն ավելի է </w:t>
      </w:r>
      <w:r w:rsidRPr="00152B0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2021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համապատասխան ցուցանիշից 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2,997.1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 դրամով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: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0076B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</w:t>
      </w:r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եղական տուրքերի կազմում</w:t>
      </w:r>
      <w:r w:rsidR="000076B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վարչական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տարածքում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շենքերի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շինությունների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և</w:t>
      </w:r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քաղաքաշինական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այլ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օբյեկտների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քանդման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թույլտվության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համար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մուտքերը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կազմել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է</w:t>
      </w:r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705.0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հազար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դրամ</w:t>
      </w:r>
      <w:proofErr w:type="spellEnd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՝</w:t>
      </w:r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ծրագրված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30.0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հազար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դրամի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նկատմամբ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: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</w:t>
      </w:r>
      <w:r w:rsidR="002B124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եղական տուրքերի կազմում </w:t>
      </w:r>
      <w:r w:rsidR="00BD6FAD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արտաքին գովազդ տեղադրելու թույլտվության համար </w:t>
      </w:r>
      <w:proofErr w:type="spellStart"/>
      <w:r w:rsidR="00B500D2">
        <w:rPr>
          <w:rFonts w:ascii="GHEA Grapalat" w:eastAsia="Times New Roman" w:hAnsi="GHEA Grapalat" w:cs="GHEA Grapalat"/>
          <w:color w:val="4B5C6A"/>
          <w:sz w:val="20"/>
          <w:szCs w:val="20"/>
          <w:lang w:val="en-US" w:eastAsia="ru-RU"/>
        </w:rPr>
        <w:t>մուտքերը</w:t>
      </w:r>
      <w:proofErr w:type="spellEnd"/>
      <w:r w:rsidR="00B500D2" w:rsidRPr="00B500D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proofErr w:type="spellStart"/>
      <w:r w:rsidR="00B500D2">
        <w:rPr>
          <w:rFonts w:ascii="GHEA Grapalat" w:eastAsia="Times New Roman" w:hAnsi="GHEA Grapalat" w:cs="GHEA Grapalat"/>
          <w:color w:val="4B5C6A"/>
          <w:sz w:val="20"/>
          <w:szCs w:val="20"/>
          <w:lang w:val="en-US" w:eastAsia="ru-RU"/>
        </w:rPr>
        <w:t>կազմել</w:t>
      </w:r>
      <w:proofErr w:type="spellEnd"/>
      <w:r w:rsidR="00B500D2" w:rsidRPr="00B500D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B500D2">
        <w:rPr>
          <w:rFonts w:ascii="GHEA Grapalat" w:eastAsia="Times New Roman" w:hAnsi="GHEA Grapalat" w:cs="GHEA Grapalat"/>
          <w:color w:val="4B5C6A"/>
          <w:sz w:val="20"/>
          <w:szCs w:val="20"/>
          <w:lang w:val="en-US" w:eastAsia="ru-RU"/>
        </w:rPr>
        <w:t>է</w:t>
      </w:r>
      <w:r w:rsidR="00B500D2" w:rsidRPr="00B500D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2B124A" w:rsidRPr="002B124A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2,954.9</w:t>
      </w:r>
      <w:r w:rsidR="00BD6FAD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հազար դրամ</w:t>
      </w:r>
      <w:r w:rsidR="00B500D2">
        <w:rPr>
          <w:rFonts w:ascii="GHEA Grapalat" w:eastAsia="Times New Roman" w:hAnsi="GHEA Grapalat" w:cs="GHEA Grapalat"/>
          <w:color w:val="4B5C6A"/>
          <w:sz w:val="20"/>
          <w:szCs w:val="20"/>
          <w:lang w:val="en-US" w:eastAsia="ru-RU"/>
        </w:rPr>
        <w:t>՝</w:t>
      </w:r>
      <w:r w:rsidR="00B500D2" w:rsidRPr="00B500D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ծրագրված 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3,000.0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նկատմամբ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կամ</w:t>
      </w:r>
      <w:proofErr w:type="spellEnd"/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98.5%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: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Ոգելից խմիչքների ու ծխախոտի արտադրանքի վաճառքի համար տուրքերի մ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ասով մուտքերը կազմել են </w:t>
      </w:r>
      <w:r w:rsidR="002B124A" w:rsidRPr="002B124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8,132.1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</w:t>
      </w:r>
      <w:r w:rsidR="00B500D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՝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ծրագրված </w:t>
      </w:r>
      <w:r w:rsidR="002B124A" w:rsidRPr="002B124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8238.8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նկատմամբ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98.7%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: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500D2" w:rsidRPr="00B500D2">
        <w:rPr>
          <w:rFonts w:ascii="GHEA Grapalat" w:eastAsia="Times New Roman" w:hAnsi="GHEA Grapalat" w:cs="Arial"/>
          <w:sz w:val="20"/>
          <w:szCs w:val="20"/>
          <w:lang w:eastAsia="ru-RU"/>
        </w:rPr>
        <w:t xml:space="preserve">Համայնքի վարչական տարածքում, սահմանամերձ և բարձրլեռնային համայնքների վարչական տարածքում օրենքով և այլ իրավական ակտերով սահմանված պահանջները բավարարող լցավորման յուրաքանչյուր կայանում հեղուկ վառելիքի, սեղմված բնական կամ հեղուկացված նավթային գազերի վաճառքի թույլտվության համար </w:t>
      </w:r>
      <w:r w:rsidR="00B500D2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տուրքերի մ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ասով մուտքերը կազմել են 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3,295.0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</w:t>
      </w:r>
      <w:r w:rsidR="00B500D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՝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ծրագրված 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3200.0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lastRenderedPageBreak/>
        <w:t>նկատմամբ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կամ</w:t>
      </w:r>
      <w:proofErr w:type="spellEnd"/>
      <w:r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10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2.9%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: </w:t>
      </w:r>
      <w:r w:rsidR="00B500D2" w:rsidRPr="00B500D2">
        <w:rPr>
          <w:rFonts w:ascii="GHEA Grapalat" w:eastAsia="Times New Roman" w:hAnsi="GHEA Grapalat" w:cs="Arial"/>
          <w:sz w:val="20"/>
          <w:szCs w:val="20"/>
          <w:lang w:eastAsia="ru-RU"/>
        </w:rPr>
        <w:t xml:space="preserve">Համայնքի վարչական տարածքում, սահմանամերձ և բարձրլեռնային համայնքների վարչական տարածքում գտնվող 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</w:t>
      </w:r>
      <w:r w:rsidR="00B500D2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տուրքերի մ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ասով մուտքերը կազմել են 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270.0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</w:t>
      </w:r>
      <w:r w:rsidR="00B500D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՝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ծրագրված 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300.0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նկատմամբ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կամ</w:t>
      </w:r>
      <w:proofErr w:type="spellEnd"/>
      <w:r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90.0%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: </w:t>
      </w:r>
      <w:r w:rsidR="00B500D2" w:rsidRPr="00B500D2">
        <w:rPr>
          <w:rFonts w:ascii="GHEA Grapalat" w:eastAsia="Times New Roman" w:hAnsi="GHEA Grapalat" w:cs="Arial"/>
          <w:sz w:val="20"/>
          <w:szCs w:val="20"/>
          <w:lang w:eastAsia="ru-RU"/>
        </w:rPr>
        <w:t xml:space="preserve">Համայնքի վարչական տարածքում 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 </w:t>
      </w:r>
      <w:r w:rsidR="00B500D2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տուրքերի մ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ասով մուտքերը կազմել են 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470.5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</w:t>
      </w:r>
      <w:r w:rsidR="00B500D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՝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ծրագրված 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532.0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նկատմամբ</w:t>
      </w:r>
      <w:r w:rsidR="00F84D42" w:rsidRPr="00F84D4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F84D4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կամ</w:t>
      </w:r>
      <w:proofErr w:type="spellEnd"/>
      <w:r w:rsidR="00F84D42" w:rsidRPr="00F84D4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88.4</w:t>
      </w:r>
      <w:r w:rsidR="00F84D42"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: </w:t>
      </w:r>
      <w:r w:rsidR="00B500D2" w:rsidRPr="00B500D2">
        <w:rPr>
          <w:rFonts w:ascii="GHEA Grapalat" w:eastAsia="Times New Roman" w:hAnsi="GHEA Grapalat" w:cs="Arial"/>
          <w:sz w:val="20"/>
          <w:szCs w:val="20"/>
          <w:lang w:eastAsia="ru-RU"/>
        </w:rPr>
        <w:t xml:space="preserve"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առևտուր կազմակերպելու թույլտվության համար </w:t>
      </w:r>
      <w:r w:rsidR="00B500D2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տուրքերի մ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ասով մուտքերը կազմել են 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419.5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</w:t>
      </w:r>
      <w:r w:rsidR="00B500D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՝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ծրագրված 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58.1</w:t>
      </w:r>
      <w:r w:rsidR="00B500D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նկատմամբ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: </w:t>
      </w:r>
      <w:r w:rsidR="000076B2" w:rsidRPr="000076B2">
        <w:rPr>
          <w:rFonts w:ascii="GHEA Grapalat" w:eastAsia="Times New Roman" w:hAnsi="GHEA Grapalat" w:cs="Arial"/>
          <w:sz w:val="20"/>
          <w:szCs w:val="20"/>
          <w:lang w:eastAsia="ru-RU"/>
        </w:rPr>
        <w:t xml:space="preserve">Համայնքի վարչական տարածքում թանկարժեք մետաղներից պատրաստված իրերի որոշակի վայրում մանրածախ առք ու վաճառք իրականացնելու թույլտվության համար </w:t>
      </w:r>
      <w:r w:rsidR="000076B2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տուրքերի մ</w:t>
      </w:r>
      <w:r w:rsidR="000076B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ասով մուտքերը կազմել են </w:t>
      </w:r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350.0</w:t>
      </w:r>
      <w:r w:rsidR="000076B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</w:t>
      </w:r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՝</w:t>
      </w:r>
      <w:r w:rsidR="000076B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ծրագրված </w:t>
      </w:r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350.0</w:t>
      </w:r>
      <w:r w:rsidR="000076B2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նկատմամբ</w:t>
      </w:r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076B2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կամ</w:t>
      </w:r>
      <w:proofErr w:type="spellEnd"/>
      <w:r w:rsidR="000076B2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100%:</w:t>
      </w:r>
    </w:p>
    <w:p w:rsidR="00B500D2" w:rsidRPr="00B500D2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Թեև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տեղական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տուրքերի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որոշ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տեսակների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մասով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առկա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ծրագրված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ցուցանիշների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թերակատարումներ</w:t>
      </w:r>
      <w:r w:rsidR="00E716B4" w:rsidRPr="00E716B4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E716B4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և</w:t>
      </w:r>
      <w:r w:rsidR="00E716B4" w:rsidRPr="00E716B4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E716B4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գերակատարումներ</w:t>
      </w:r>
      <w:proofErr w:type="spellEnd"/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սակայն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պետք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հաշվի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առնել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որ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ցուցանիշները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ծրագրվում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կանխատեսելիության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սկզբունքով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իսկ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գանձումն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իրականացվում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հաշվետու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տարում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հաշվառման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տվյալներով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որն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իր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հերթին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իրականացվել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ամբողջությամբ</w:t>
      </w:r>
      <w:r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:</w:t>
      </w:r>
      <w:r w:rsidR="00B500D2" w:rsidRPr="00B500D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</w:p>
    <w:p w:rsidR="00BD6FAD" w:rsidRPr="002F337C" w:rsidRDefault="00B500D2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Այսպ</w:t>
      </w:r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ի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սով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հարկային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եկամուտների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և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տուրքերի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մասով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2F337C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2022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թվականի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կատարման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ցուցանիշները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E716B4" w:rsidRPr="00E716B4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354,014.5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`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ծրագրված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ճշտված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339,334.9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դրամի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նկատմամբ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E34B7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կամ</w:t>
      </w:r>
      <w:proofErr w:type="spellEnd"/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104.3%</w:t>
      </w:r>
      <w:r w:rsidR="00B922CD"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="00B922C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որն ավելի է </w:t>
      </w:r>
      <w:r w:rsidR="00B922CD" w:rsidRPr="00152B0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2021</w:t>
      </w:r>
      <w:r w:rsidR="00B922C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համապատասխան ցուցանիշից </w:t>
      </w:r>
      <w:r w:rsidR="00B922CD" w:rsidRPr="00B922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38,422.4 </w:t>
      </w:r>
      <w:r w:rsidR="00B922C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 դրամով</w:t>
      </w:r>
      <w:r w:rsidR="00BD6FAD" w:rsidRPr="002F337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:</w:t>
      </w: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Այդ թվում`</w:t>
      </w: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</w:t>
      </w:r>
      <w:proofErr w:type="spellStart"/>
      <w:r w:rsidR="001E34B7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գույքային</w:t>
      </w:r>
      <w:proofErr w:type="spellEnd"/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E34B7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հարկեր</w:t>
      </w:r>
      <w:proofErr w:type="spellEnd"/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E34B7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անշարժ</w:t>
      </w:r>
      <w:proofErr w:type="spellEnd"/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E34B7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գույքի</w:t>
      </w:r>
      <w:proofErr w:type="spellEnd"/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գծով փաստացի կատարողական ցուցանիշները կազմել են 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100,304.0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դրամ, ծրագրված (ճշտված) 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88,182.0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նկատմամբ կամ կատարողականը կազմել է 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113.7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%, որը 20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21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փաստացի ցուցանիշից ավել է 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26,960.9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դրամով,</w:t>
      </w:r>
      <w:r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</w:t>
      </w: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</w:t>
      </w:r>
      <w:proofErr w:type="spellStart"/>
      <w:r w:rsidR="001E34B7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Փոխադրամիջոցների</w:t>
      </w:r>
      <w:proofErr w:type="spellEnd"/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E34B7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գույքահարկի</w:t>
      </w:r>
      <w:proofErr w:type="spellEnd"/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մասով մուտքերը կազմել են 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224,294.1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դրամ, նախատեսված 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227,610.0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դիմաց,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E34B7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կատարողականը կազմել է 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98.5</w:t>
      </w:r>
      <w:r w:rsidR="001E34B7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%, որը 20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21</w:t>
      </w:r>
      <w:r w:rsidR="001E34B7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փաստացի ցուցանիշից ավել է </w:t>
      </w:r>
      <w:r w:rsidR="001E34B7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22,383.7</w:t>
      </w:r>
      <w:r w:rsidR="001E34B7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դրամով,</w:t>
      </w:r>
      <w:r w:rsidR="001E34B7"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</w:t>
      </w:r>
    </w:p>
    <w:p w:rsidR="00BD6FAD" w:rsidRPr="005943F0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տեղական տուրքերի գծով փաստացի կատարման ցուցանիշները կազմել են </w:t>
      </w:r>
      <w:r w:rsidR="005943F0" w:rsidRPr="005943F0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18,464.1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դրամ՝ նախատեսված (ճշտված) </w:t>
      </w:r>
      <w:r w:rsidR="005943F0" w:rsidRPr="005943F0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16542.9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դիմաց, կամ կատարողականը կազմել է </w:t>
      </w:r>
      <w:r w:rsidR="005943F0" w:rsidRPr="005943F0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111.6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%,</w:t>
      </w:r>
      <w:r w:rsidR="005943F0" w:rsidRPr="005943F0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5943F0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որը 20</w:t>
      </w:r>
      <w:r w:rsidR="005943F0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21</w:t>
      </w:r>
      <w:r w:rsidR="005943F0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փաստացի ցուցանիշից ավել է </w:t>
      </w:r>
      <w:r w:rsidR="005943F0" w:rsidRPr="005943F0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2,997.1</w:t>
      </w:r>
      <w:r w:rsidR="005943F0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դրամով</w:t>
      </w:r>
      <w:r w:rsidR="005943F0" w:rsidRPr="005943F0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,</w:t>
      </w:r>
    </w:p>
    <w:p w:rsidR="00BD6FAD" w:rsidRPr="00EF094F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FF0000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պետական տուրքերի գծով փաստացի հավաքագրվել է </w:t>
      </w:r>
      <w:r w:rsidR="00EF094F"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10,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952</w:t>
      </w:r>
      <w:r w:rsid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.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դրամ` ծրագրված </w:t>
      </w:r>
      <w:r w:rsidR="00EF094F"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7,000.0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դրամի դիմաց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C1129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կամ</w:t>
      </w:r>
      <w:proofErr w:type="spellEnd"/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156</w:t>
      </w:r>
      <w:r w:rsid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.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5</w:t>
      </w:r>
      <w:r w:rsidR="000C1129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,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0C1129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որը</w:t>
      </w:r>
      <w:proofErr w:type="spellEnd"/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0C1129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20</w:t>
      </w:r>
      <w:r w:rsidR="000C1129" w:rsidRPr="001E34B7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21</w:t>
      </w:r>
      <w:r w:rsidR="000C1129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փաստացի ցուցանիշից ավել է 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760.3</w:t>
      </w:r>
      <w:r w:rsidR="000C1129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հազար դրամով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որից</w:t>
      </w:r>
    </w:p>
    <w:p w:rsidR="00BD6FAD" w:rsidRPr="000C1129" w:rsidRDefault="00BD6FAD" w:rsidP="000C1129">
      <w:pPr>
        <w:numPr>
          <w:ilvl w:val="0"/>
          <w:numId w:val="1"/>
        </w:numPr>
        <w:shd w:val="clear" w:color="auto" w:fill="FFFFFF"/>
        <w:spacing w:after="185" w:line="240" w:lineRule="auto"/>
        <w:ind w:left="0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քաղաքացիական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կացության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ակտեր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գրանցելու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հետ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կապված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համապատասխան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գործարքներից՝</w:t>
      </w:r>
      <w:r w:rsidRPr="00EF094F">
        <w:rPr>
          <w:rFonts w:ascii="Courier New" w:eastAsia="Times New Roman" w:hAnsi="Courier New" w:cs="Courier New"/>
          <w:color w:val="4B5C6A"/>
          <w:sz w:val="20"/>
          <w:szCs w:val="20"/>
          <w:lang w:val="en-US" w:eastAsia="ru-RU"/>
        </w:rPr>
        <w:t> </w:t>
      </w:r>
      <w:r w:rsidRPr="00EF094F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EF094F" w:rsidRPr="00EF094F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4,1</w:t>
      </w:r>
      <w:r w:rsidR="000C1129" w:rsidRPr="000C1129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13</w:t>
      </w:r>
      <w:r w:rsidR="000C1129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.</w:t>
      </w:r>
      <w:r w:rsidR="000C1129" w:rsidRPr="000C1129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0</w:t>
      </w:r>
      <w:r w:rsidRPr="00EF094F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հազար</w:t>
      </w:r>
      <w:r w:rsidRPr="00EF094F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դրամ</w:t>
      </w:r>
      <w:r w:rsidR="000C1129">
        <w:rPr>
          <w:rFonts w:ascii="GHEA Grapalat" w:eastAsia="Times New Roman" w:hAnsi="GHEA Grapalat" w:cs="GHEA Grapalat"/>
          <w:color w:val="4B5C6A"/>
          <w:sz w:val="20"/>
          <w:szCs w:val="20"/>
          <w:lang w:val="en-US" w:eastAsia="ru-RU"/>
        </w:rPr>
        <w:t>՝</w:t>
      </w:r>
      <w:r w:rsidR="000C1129" w:rsidRPr="000C1129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0C1129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նախատեսված (ճշտված) 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3,000.0 հազար դրամի դիմաց, կամ կատարողականը կազմել է 1</w:t>
      </w:r>
      <w:r w:rsid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7</w:t>
      </w:r>
      <w:r w:rsid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.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1%</w:t>
      </w:r>
      <w:r w:rsidRPr="000C1129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,</w:t>
      </w:r>
      <w:r w:rsidR="000C1129" w:rsidRPr="000C1129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 </w:t>
      </w:r>
    </w:p>
    <w:p w:rsidR="000C1129" w:rsidRPr="000C1129" w:rsidRDefault="00BD6FAD" w:rsidP="000C1129">
      <w:pPr>
        <w:numPr>
          <w:ilvl w:val="0"/>
          <w:numId w:val="1"/>
        </w:numPr>
        <w:shd w:val="clear" w:color="auto" w:fill="FFFFFF"/>
        <w:spacing w:after="185" w:line="240" w:lineRule="auto"/>
        <w:ind w:left="0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lastRenderedPageBreak/>
        <w:t>նոտարական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գրասենյակների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կողմից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նոտարական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ծառայությունների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հետ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կապված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համապատասխան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գործարքներից՝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EF094F"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6,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839.3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EF094F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="000C1129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՝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0C1129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նախատեսված (ճշտված) 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4,000.0 հազար դրամի դիմաց, կամ կատարողականը կազմել է 171</w:t>
      </w:r>
      <w:r w:rsid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.</w:t>
      </w:r>
      <w:r w:rsidR="000C1129" w:rsidRPr="000C1129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0%</w:t>
      </w:r>
      <w:r w:rsidR="000C1129" w:rsidRPr="000C1129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,</w:t>
      </w:r>
      <w:r w:rsidRPr="000C1129">
        <w:rPr>
          <w:rFonts w:ascii="Courier New" w:eastAsia="Times New Roman" w:hAnsi="Courier New" w:cs="Courier New"/>
          <w:color w:val="4B5C6A"/>
          <w:sz w:val="20"/>
          <w:szCs w:val="20"/>
          <w:lang w:val="en-US" w:eastAsia="ru-RU"/>
        </w:rPr>
        <w:t> </w:t>
      </w:r>
    </w:p>
    <w:p w:rsidR="00BD6FAD" w:rsidRPr="000C1129" w:rsidRDefault="00BD6FAD" w:rsidP="000C1129">
      <w:pPr>
        <w:numPr>
          <w:ilvl w:val="0"/>
          <w:numId w:val="1"/>
        </w:numPr>
        <w:shd w:val="clear" w:color="auto" w:fill="FFFFFF"/>
        <w:spacing w:after="185" w:line="240" w:lineRule="auto"/>
        <w:ind w:left="0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0C1129">
        <w:rPr>
          <w:rFonts w:ascii="GHEA Grapalat" w:eastAsia="Times New Roman" w:hAnsi="GHEA Grapalat" w:cs="Times New Roman"/>
          <w:b/>
          <w:bCs/>
          <w:color w:val="4B5C6A"/>
          <w:sz w:val="20"/>
          <w:lang w:eastAsia="ru-RU"/>
        </w:rPr>
        <w:t>Պաշտոնական</w:t>
      </w:r>
      <w:r w:rsidRPr="000C1129">
        <w:rPr>
          <w:rFonts w:ascii="GHEA Grapalat" w:eastAsia="Times New Roman" w:hAnsi="GHEA Grapalat" w:cs="Times New Roman"/>
          <w:b/>
          <w:bCs/>
          <w:color w:val="4B5C6A"/>
          <w:sz w:val="20"/>
          <w:lang w:val="en-US" w:eastAsia="ru-RU"/>
        </w:rPr>
        <w:t xml:space="preserve"> </w:t>
      </w:r>
      <w:r w:rsidRPr="000C1129">
        <w:rPr>
          <w:rFonts w:ascii="GHEA Grapalat" w:eastAsia="Times New Roman" w:hAnsi="GHEA Grapalat" w:cs="Times New Roman"/>
          <w:b/>
          <w:bCs/>
          <w:color w:val="4B5C6A"/>
          <w:sz w:val="20"/>
          <w:lang w:eastAsia="ru-RU"/>
        </w:rPr>
        <w:t>դրամաշնորհներ</w:t>
      </w:r>
      <w:r w:rsidRPr="000C1129">
        <w:rPr>
          <w:rFonts w:ascii="GHEA Grapalat" w:eastAsia="Times New Roman" w:hAnsi="GHEA Grapalat" w:cs="Times New Roman"/>
          <w:b/>
          <w:bCs/>
          <w:color w:val="4B5C6A"/>
          <w:sz w:val="20"/>
          <w:lang w:val="en-US" w:eastAsia="ru-RU"/>
        </w:rPr>
        <w:t>.</w:t>
      </w:r>
    </w:p>
    <w:p w:rsidR="00BD6FAD" w:rsidRPr="000076B2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Պաշտոնական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դրամաշնորհների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մասով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մուտքերը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EF094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1,486,773.3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ծրագրված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ճշտված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="00EF094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1,579,090.1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նկատմամբ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կամ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կատարվել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9</w:t>
      </w:r>
      <w:r w:rsidR="00EF094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4.2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%-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որից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ՀՀ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պետական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բյուջեից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ֆինանսական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համահարթեցման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սկզբունքով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տրամադրվող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դոտացիաների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և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այլ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դոտացիաների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գծով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մուտքերը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1,323,937.9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ընթացիկ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ֆինանսավորման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նպատակով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պետական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բյուջեից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տրամադրվող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նպատակային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հատկացումներից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սուբվենցիաներից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մուտքերը՝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582.4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proofErr w:type="spellStart"/>
      <w:r w:rsidR="001C75EF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պետական</w:t>
      </w:r>
      <w:proofErr w:type="spellEnd"/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C75EF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բյուջեից</w:t>
      </w:r>
      <w:proofErr w:type="spellEnd"/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C75EF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կապիտալ</w:t>
      </w:r>
      <w:proofErr w:type="spellEnd"/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C75EF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ծախսերի</w:t>
      </w:r>
      <w:proofErr w:type="spellEnd"/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C75EF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ֆինանսավորման</w:t>
      </w:r>
      <w:proofErr w:type="spellEnd"/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C75EF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նպատակային</w:t>
      </w:r>
      <w:proofErr w:type="spellEnd"/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 w:rsidR="001C75EF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հատկացումներից</w:t>
      </w:r>
      <w:proofErr w:type="spellEnd"/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proofErr w:type="spellStart"/>
      <w:r w:rsidR="001C75EF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սուբվենցիաներ</w:t>
      </w:r>
      <w:proofErr w:type="spellEnd"/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)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մուտքերը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162,253.0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դրամ։</w:t>
      </w:r>
    </w:p>
    <w:p w:rsidR="00BD6FAD" w:rsidRPr="000076B2" w:rsidRDefault="00BD6FAD" w:rsidP="00BD6FAD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EF094F">
        <w:rPr>
          <w:rFonts w:ascii="Courier New" w:eastAsia="Times New Roman" w:hAnsi="Courier New" w:cs="Courier New"/>
          <w:b/>
          <w:bCs/>
          <w:color w:val="4B5C6A"/>
          <w:sz w:val="20"/>
          <w:lang w:val="en-US" w:eastAsia="ru-RU"/>
        </w:rPr>
        <w:t> </w:t>
      </w:r>
    </w:p>
    <w:p w:rsidR="00BD6FAD" w:rsidRPr="000076B2" w:rsidRDefault="00BD6FAD" w:rsidP="00BD6FAD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b/>
          <w:bCs/>
          <w:color w:val="4B5C6A"/>
          <w:sz w:val="20"/>
          <w:lang w:eastAsia="ru-RU"/>
        </w:rPr>
        <w:t>Այլ</w:t>
      </w:r>
      <w:r w:rsidRPr="000076B2">
        <w:rPr>
          <w:rFonts w:ascii="GHEA Grapalat" w:eastAsia="Times New Roman" w:hAnsi="GHEA Grapalat" w:cs="Times New Roman"/>
          <w:b/>
          <w:bCs/>
          <w:color w:val="4B5C6A"/>
          <w:sz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b/>
          <w:bCs/>
          <w:color w:val="4B5C6A"/>
          <w:sz w:val="20"/>
          <w:lang w:eastAsia="ru-RU"/>
        </w:rPr>
        <w:t>եկամուտներ</w:t>
      </w:r>
      <w:r w:rsidRPr="000076B2">
        <w:rPr>
          <w:rFonts w:ascii="GHEA Grapalat" w:eastAsia="Times New Roman" w:hAnsi="GHEA Grapalat" w:cs="Times New Roman"/>
          <w:b/>
          <w:bCs/>
          <w:color w:val="4B5C6A"/>
          <w:sz w:val="20"/>
          <w:lang w:eastAsia="ru-RU"/>
        </w:rPr>
        <w:t>.</w:t>
      </w:r>
    </w:p>
    <w:p w:rsidR="00BD6FAD" w:rsidRPr="000076B2" w:rsidRDefault="001C75EF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2022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թվականի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բյուջեով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այլ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եկամուտների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գծով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նախատեսված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էր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160,606.3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դրամի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որի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դիմաց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հավաքագրվել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152,657.8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որից</w:t>
      </w:r>
      <w:r w:rsidR="00BD6FAD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.</w:t>
      </w:r>
    </w:p>
    <w:p w:rsidR="001C75EF" w:rsidRPr="000076B2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</w:pP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գույքի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այդ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թվում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հողերի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վարձակալությունից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եկամուտների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գծով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մուտքերը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43,828.9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ծրագրված</w:t>
      </w:r>
      <w:r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C75EF" w:rsidRPr="000076B2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50,458.1</w:t>
      </w:r>
      <w:r w:rsidR="001C75EF" w:rsidRPr="000076B2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հազար</w:t>
      </w:r>
      <w:r w:rsidRPr="000076B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դրամի</w:t>
      </w:r>
      <w:r w:rsidRPr="000076B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դիմաց</w:t>
      </w:r>
      <w:r w:rsidRPr="000076B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կամ</w:t>
      </w:r>
      <w:r w:rsidRPr="000076B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կատարողականը</w:t>
      </w:r>
      <w:r w:rsidRPr="000076B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կազմել</w:t>
      </w:r>
      <w:r w:rsidRPr="000076B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է</w:t>
      </w:r>
      <w:r w:rsidR="001C75EF" w:rsidRPr="000076B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86.9%,</w:t>
      </w:r>
      <w:r w:rsidRPr="000076B2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</w:p>
    <w:p w:rsidR="001C75EF" w:rsidRPr="00BF66CD" w:rsidRDefault="00BD6FAD" w:rsidP="00800EEF">
      <w:pPr>
        <w:rPr>
          <w:rFonts w:ascii="Sylfaen" w:eastAsia="Times New Roman" w:hAnsi="Sylfaen" w:cs="Calibri"/>
          <w:sz w:val="20"/>
          <w:szCs w:val="20"/>
          <w:lang w:eastAsia="ru-RU"/>
        </w:rPr>
      </w:pP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Պետության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կողմից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տեղական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ինքնակառավարման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մարմիններին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պատվիրակված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լիազորությունների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իրականացման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ծախսերի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ֆինանսավորման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համար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պետական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բյուջեից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ստացվող</w:t>
      </w:r>
      <w:r w:rsidR="00800EEF" w:rsidRPr="00BF66CD">
        <w:rPr>
          <w:rFonts w:ascii="Arial LatArm" w:eastAsia="Times New Roman" w:hAnsi="Arial LatArm" w:cs="Calibri"/>
          <w:sz w:val="20"/>
          <w:szCs w:val="20"/>
          <w:lang w:eastAsia="ru-RU"/>
        </w:rPr>
        <w:t xml:space="preserve"> </w:t>
      </w:r>
      <w:r w:rsidR="00800EEF" w:rsidRPr="00800EEF">
        <w:rPr>
          <w:rFonts w:ascii="Sylfaen" w:eastAsia="Times New Roman" w:hAnsi="Sylfaen" w:cs="Sylfaen"/>
          <w:sz w:val="20"/>
          <w:szCs w:val="20"/>
          <w:lang w:eastAsia="ru-RU"/>
        </w:rPr>
        <w:t>միջոցներ</w:t>
      </w:r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ի</w:t>
      </w:r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գծով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փաստացի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մուտքերը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կազմել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են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3675.1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հազ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.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դրամ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կամ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կատարողականը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</w:t>
      </w:r>
      <w:proofErr w:type="spellStart"/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կազմել</w:t>
      </w:r>
      <w:proofErr w:type="spellEnd"/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</w:t>
      </w:r>
      <w:r w:rsidR="00800EEF">
        <w:rPr>
          <w:rFonts w:ascii="Sylfaen" w:eastAsia="Times New Roman" w:hAnsi="Sylfaen" w:cs="Calibri"/>
          <w:sz w:val="20"/>
          <w:szCs w:val="20"/>
          <w:lang w:val="en-US" w:eastAsia="ru-RU"/>
        </w:rPr>
        <w:t>է</w:t>
      </w:r>
      <w:r w:rsidR="00800EEF" w:rsidRPr="00BF66CD">
        <w:rPr>
          <w:rFonts w:ascii="Sylfaen" w:eastAsia="Times New Roman" w:hAnsi="Sylfaen" w:cs="Calibri"/>
          <w:sz w:val="20"/>
          <w:szCs w:val="20"/>
          <w:lang w:eastAsia="ru-RU"/>
        </w:rPr>
        <w:t xml:space="preserve"> 100%,</w:t>
      </w:r>
    </w:p>
    <w:p w:rsidR="00BD6FAD" w:rsidRPr="00BF66C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օրենքով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սահմանված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դեպքերում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համայնքային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հիմնարկների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կողմից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առանց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տեղական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տուրքի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գանձման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մատուցվող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ծառայությունների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դիմաց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ստացվող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գանձվող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այլ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վճարների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գծով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կատարողականը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Pr="00EF094F">
        <w:rPr>
          <w:rFonts w:ascii="Courier New" w:eastAsia="Times New Roman" w:hAnsi="Courier New" w:cs="Courier New"/>
          <w:color w:val="4B5C6A"/>
          <w:sz w:val="20"/>
          <w:szCs w:val="20"/>
          <w:lang w:val="en-US" w:eastAsia="ru-RU"/>
        </w:rPr>
        <w:t> 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1C75EF"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2,813.1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հազար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դրամ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,</w:t>
      </w:r>
    </w:p>
    <w:p w:rsidR="00800EEF" w:rsidRPr="00BF66C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տեղական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վճարների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գծով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եկամուտները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`</w:t>
      </w:r>
      <w:r w:rsidRPr="00800EEF">
        <w:rPr>
          <w:rFonts w:ascii="Courier New" w:eastAsia="Times New Roman" w:hAnsi="Courier New" w:cs="Courier New"/>
          <w:color w:val="4B5C6A"/>
          <w:sz w:val="20"/>
          <w:szCs w:val="20"/>
          <w:lang w:val="en-US" w:eastAsia="ru-RU"/>
        </w:rPr>
        <w:t> 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109,348.4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հազար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դ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րամ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նախատեսված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106,073.1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նկատմամբ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կամ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նախատեսվածի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103.1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%-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:</w:t>
      </w:r>
      <w:r w:rsidR="00800EEF" w:rsidRPr="00BF66C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Աղբահանության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վճարների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մասով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մուտքերը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կազմել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են</w:t>
      </w:r>
      <w:r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37,110.2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ծրագրված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36,100.0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.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դիմաց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կամ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նախատեսվածի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102.8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%-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: </w:t>
      </w:r>
    </w:p>
    <w:p w:rsidR="00800EEF" w:rsidRPr="00BF66C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վարչական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իրավախախտումներից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մուտքերը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200.0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նախատեսված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400.0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դիմաց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կամ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նախատեսվածի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50.0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%-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</w:p>
    <w:p w:rsidR="00BD6FAD" w:rsidRPr="00BF66C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համայնքի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գույքին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պատճառված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վնասների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փոխհատուցումից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մուտքերը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1,448.0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,</w:t>
      </w:r>
    </w:p>
    <w:p w:rsidR="00812BC7" w:rsidRPr="00812BC7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-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օրենքով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և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իրավական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այլ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ակտերով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սահմանված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`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համայնքի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մուտքագրման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ենթակա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այլ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եկամուտների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գծով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մուտքերը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104.3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  <w:r w:rsidR="00800EEF"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:</w:t>
      </w:r>
      <w:r w:rsidRPr="00BF66C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</w:p>
    <w:p w:rsidR="00BD6FAD" w:rsidRPr="00FF082D" w:rsidRDefault="00BD6FAD" w:rsidP="00BD6FAD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i/>
          <w:iCs/>
          <w:color w:val="4B5C6A"/>
          <w:sz w:val="20"/>
          <w:lang w:eastAsia="ru-RU"/>
        </w:rPr>
        <w:t>Ծախսեր</w:t>
      </w:r>
    </w:p>
    <w:p w:rsidR="00BD6FAD" w:rsidRPr="00FF082D" w:rsidRDefault="000076B2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1103A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2022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թվականի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միջոցների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հաշվին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կատարվել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1103A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1,941,930.9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ծրագրված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ճշտված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="0011103A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2,256,372.9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դիմաց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կամ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ծրագրվածի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1103A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86.1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%-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ը։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կատարված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ծախսերը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եկամուտների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տեսակարար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կշռում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կազմում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="0011103A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97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,4%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։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Ընդամենը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փաստացի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ծախսերից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1103A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1,624,870.4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ուղղվել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ընթացիկ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վարչական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),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իսկ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1103A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317,060.5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դրամը</w:t>
      </w:r>
      <w:r w:rsidR="0011103A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՝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կապիտալ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բնույթի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զուտ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ֆոնդային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)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։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Ոչ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ֆինանսական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ակտիվների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օտարումից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մուտքերը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կազմել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11103A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20,997.0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դրամ։</w:t>
      </w:r>
    </w:p>
    <w:p w:rsidR="00BD6FAD" w:rsidRPr="00FF082D" w:rsidRDefault="0011103A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2022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թվականի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փաստացի</w:t>
      </w:r>
      <w:proofErr w:type="spellEnd"/>
      <w:r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ծավալներում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գերակշիռ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են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սոցիալական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բնագավառի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կրթություն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առողջապահություն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սոցիալական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ապահովություն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lastRenderedPageBreak/>
        <w:t>ծախսերը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,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որոնց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տեսակարար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կշիռը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ընդհանուր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մեջ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կազմում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31.5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%,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տրանսպորտի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բնագավառին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այդ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թվում՝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ճանապարհային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տրանսպորտի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)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վերաբերող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ծախսերինը՝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307CE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8.5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%,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շրջակա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միջավայրի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պաշտպանությանն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ուղղված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ծախսերինը՝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307CE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8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.</w:t>
      </w:r>
      <w:r w:rsidR="00B307CE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</w:t>
      </w:r>
      <w:r w:rsidR="00BD6FAD" w:rsidRPr="00FF082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%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։</w:t>
      </w:r>
    </w:p>
    <w:p w:rsidR="00BD6FAD" w:rsidRPr="00B160CA" w:rsidRDefault="00B307CE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proofErr w:type="gram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2022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թվականի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բյուջեի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կատարողականն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ըստ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բյուջետային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տնտեսագիտական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դասակարգման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հոդվածների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խմբերի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ունի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հետևյալ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պատկերը</w:t>
      </w:r>
      <w:r w:rsidR="00BD6FAD" w:rsidRPr="00B160CA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.</w:t>
      </w:r>
      <w:proofErr w:type="gramEnd"/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 դրամ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96"/>
        <w:gridCol w:w="2048"/>
        <w:gridCol w:w="1948"/>
        <w:gridCol w:w="1559"/>
      </w:tblGrid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Courier New" w:eastAsia="Times New Roman" w:hAnsi="Courier New" w:cs="Courier New"/>
                <w:b/>
                <w:bCs/>
                <w:sz w:val="15"/>
                <w:lang w:eastAsia="ru-RU"/>
              </w:rPr>
              <w:t> </w:t>
            </w:r>
          </w:p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Բյուջետային ծախսերի տնտեսագիտական դասակարգման հոդվածների խմբերի անվանումը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Courier New" w:eastAsia="Times New Roman" w:hAnsi="Courier New" w:cs="Courier New"/>
                <w:b/>
                <w:bCs/>
                <w:sz w:val="15"/>
                <w:lang w:eastAsia="ru-RU"/>
              </w:rPr>
              <w:t> </w:t>
            </w:r>
          </w:p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Տարեկան ճշտված բյուջեով նախատեսված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Courier New" w:eastAsia="Times New Roman" w:hAnsi="Courier New" w:cs="Courier New"/>
                <w:b/>
                <w:bCs/>
                <w:sz w:val="15"/>
                <w:lang w:eastAsia="ru-RU"/>
              </w:rPr>
              <w:t> </w:t>
            </w:r>
          </w:p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Փաստացի ծախս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Courier New" w:eastAsia="Times New Roman" w:hAnsi="Courier New" w:cs="Courier New"/>
                <w:b/>
                <w:bCs/>
                <w:sz w:val="15"/>
                <w:lang w:eastAsia="ru-RU"/>
              </w:rPr>
              <w:t> </w:t>
            </w:r>
          </w:p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Կատարման %</w:t>
            </w:r>
          </w:p>
        </w:tc>
      </w:tr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Աշխատանքի վարձատրություն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307CE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445,690.0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307CE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436,494.6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97.9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Ծառայությունների և ապրանքների ձեռքբերման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307CE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425,864.1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307CE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348,360.0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 </w:t>
            </w:r>
          </w:p>
          <w:p w:rsidR="00BD6FAD" w:rsidRPr="00BD6FAD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8</w:t>
            </w: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</w:t>
            </w:r>
            <w:r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8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 </w:t>
            </w:r>
          </w:p>
        </w:tc>
      </w:tr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Սուբսիդիաներ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307CE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756,134.7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307CE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732,923.2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96.9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Դրամաշնորհներ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307CE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95,251.0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307CE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84,238.4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307CE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88.4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Սոցիալական նպաստներ և կենսաթոշակներ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007BB" w:rsidRDefault="007007B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19,000.0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007BB" w:rsidRDefault="007007B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16,675.0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D470EB" w:rsidRDefault="007007B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87.8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Այլ ծախսեր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D470EB" w:rsidRDefault="00D470E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18,426.4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D470EB" w:rsidRDefault="00D470E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6</w:t>
            </w:r>
            <w:r w:rsidR="00667967"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,</w:t>
            </w: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179.3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D470E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3</w:t>
            </w: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3.5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Հիմնական միջոցներ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D470EB" w:rsidRDefault="00D470E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499,006.7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D470EB" w:rsidRDefault="00D470E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338,057.5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D470E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67.7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Հիմնական միջոցների իրացումից մուտքեր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667967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-</w:t>
            </w:r>
            <w:r w:rsidR="00667967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1,00</w:t>
            </w:r>
            <w:r w:rsidR="00667967"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0</w:t>
            </w: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667967" w:rsidRDefault="00BD6FAD" w:rsidP="00667967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-</w:t>
            </w:r>
            <w:r w:rsidR="00667967" w:rsidRPr="00667967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16</w:t>
            </w: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,</w:t>
            </w:r>
            <w:r w:rsidR="00667967" w:rsidRPr="00667967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065.</w:t>
            </w:r>
            <w:r w:rsidR="00667967"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7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734E61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1606.6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34E61"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Չարտադրված ակտիվների իրացումից մուտքեր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667967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-</w:t>
            </w:r>
            <w:r w:rsidR="00667967"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2</w:t>
            </w: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,000.0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667967" w:rsidRDefault="00BD6FAD" w:rsidP="00667967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-</w:t>
            </w:r>
            <w:r w:rsidR="00667967" w:rsidRPr="00667967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4,931.</w:t>
            </w:r>
            <w:r w:rsidR="00667967"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3</w:t>
            </w: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734E61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246.6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34E61">
        <w:trPr>
          <w:trHeight w:val="948"/>
        </w:trPr>
        <w:tc>
          <w:tcPr>
            <w:tcW w:w="209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Ընդամենը</w:t>
            </w:r>
          </w:p>
        </w:tc>
        <w:tc>
          <w:tcPr>
            <w:tcW w:w="1072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667967" w:rsidRDefault="00667967" w:rsidP="00667967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2,256,372.9</w:t>
            </w:r>
          </w:p>
        </w:tc>
        <w:tc>
          <w:tcPr>
            <w:tcW w:w="1020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667967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</w:p>
          <w:p w:rsidR="00BD6FAD" w:rsidRPr="00667967" w:rsidRDefault="00667967" w:rsidP="00667967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1,941,930.9</w:t>
            </w:r>
          </w:p>
          <w:p w:rsidR="00BD6FAD" w:rsidRPr="00BD6FAD" w:rsidRDefault="00BD6FAD" w:rsidP="00667967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667967" w:rsidP="00667967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86.1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</w:tbl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</w:t>
      </w:r>
    </w:p>
    <w:p w:rsidR="00BD6FAD" w:rsidRPr="00BD6FAD" w:rsidRDefault="00734E61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734E61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734E61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2022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բյուջեի ծախսերի կատարողականն ըստ բյուջետային ծախսերի գործառական դասակարգման բաժինների ունի հետևյալ</w:t>
      </w: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պատկերը.</w:t>
      </w:r>
      <w:r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                        </w:t>
      </w:r>
      <w:r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հազար</w:t>
      </w:r>
      <w:r w:rsidR="00734E61"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 xml:space="preserve"> 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դրամ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45"/>
        <w:gridCol w:w="2373"/>
        <w:gridCol w:w="1870"/>
        <w:gridCol w:w="1563"/>
      </w:tblGrid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Բյուջետային ծախսերի գործառնական դասակարգման բաժնի անվանումը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Տարեկան</w:t>
            </w:r>
            <w:r w:rsidRPr="00BD6FAD">
              <w:rPr>
                <w:rFonts w:ascii="Courier New" w:eastAsia="Times New Roman" w:hAnsi="Courier New" w:cs="Courier New"/>
                <w:b/>
                <w:bCs/>
                <w:sz w:val="15"/>
                <w:lang w:eastAsia="ru-RU"/>
              </w:rPr>
              <w:t> </w:t>
            </w:r>
            <w:r w:rsidRPr="00BD6FAD">
              <w:rPr>
                <w:rFonts w:ascii="GHEA Grapalat" w:eastAsia="Times New Roman" w:hAnsi="GHEA Grapalat" w:cs="GHEA Grapalat"/>
                <w:b/>
                <w:bCs/>
                <w:sz w:val="15"/>
                <w:lang w:eastAsia="ru-RU"/>
              </w:rPr>
              <w:t>(ճշտված)</w:t>
            </w:r>
            <w:r w:rsidRPr="00BD6FAD">
              <w:rPr>
                <w:rFonts w:ascii="Courier New" w:eastAsia="Times New Roman" w:hAnsi="Courier New" w:cs="Courier New"/>
                <w:b/>
                <w:bCs/>
                <w:sz w:val="15"/>
                <w:lang w:eastAsia="ru-RU"/>
              </w:rPr>
              <w:t> </w:t>
            </w:r>
            <w:r w:rsidRPr="00BD6FAD">
              <w:rPr>
                <w:rFonts w:ascii="GHEA Grapalat" w:eastAsia="Times New Roman" w:hAnsi="GHEA Grapalat" w:cs="GHEA Grapalat"/>
                <w:b/>
                <w:bCs/>
                <w:sz w:val="15"/>
                <w:lang w:eastAsia="ru-RU"/>
              </w:rPr>
              <w:t>բյուջեով նախատեսված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Փաստացի կատարված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Կատարման %</w:t>
            </w: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Ընդհանուր</w:t>
            </w:r>
            <w:r w:rsidRPr="00BD6FAD">
              <w:rPr>
                <w:rFonts w:ascii="Courier New" w:eastAsia="Times New Roman" w:hAnsi="Courier New" w:cs="Courier New"/>
                <w:sz w:val="15"/>
                <w:szCs w:val="15"/>
                <w:lang w:eastAsia="ru-RU"/>
              </w:rPr>
              <w:t> </w:t>
            </w:r>
            <w:r w:rsidRPr="00BD6FAD">
              <w:rPr>
                <w:rFonts w:ascii="GHEA Grapalat" w:eastAsia="Times New Roman" w:hAnsi="GHEA Grapalat" w:cs="GHEA Grapalat"/>
                <w:sz w:val="15"/>
                <w:szCs w:val="15"/>
                <w:lang w:eastAsia="ru-RU"/>
              </w:rPr>
              <w:t xml:space="preserve"> բնույթի հանրային ծառայություննե</w:t>
            </w: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ր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34E61" w:rsidRDefault="00734E61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599,900.7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34E61" w:rsidRDefault="00734E61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553,551.3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734E61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92.2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Պաշտպանություն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34E61" w:rsidRDefault="00734E61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4,950.0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34E61" w:rsidRDefault="00734E61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660.0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734E61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13.3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Տնտեսական հարաբերություններ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FF082D" w:rsidRDefault="00FF082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244,513.5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FF082D" w:rsidRDefault="00FF082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161,900.9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FF082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66.2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lastRenderedPageBreak/>
              <w:t>Շրջակա միջավայրի պաշտպանություն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FF082D" w:rsidRDefault="00FF082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165,310.9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FF082D" w:rsidRDefault="00FF082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159,515.8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FF082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96.5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Բնակարանային շինարարություն և կոմունալ ծառայություն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FF082D" w:rsidRDefault="00FF082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360,375.7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FF082D" w:rsidRDefault="00FF082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271,248.7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FF082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75.3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Հանգիստ, մշակույթ և կրոն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8685B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233,749.0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8685B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182,573.8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78.1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Կրթություն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8685B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619,476.7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8685B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595,805.3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96.</w:t>
            </w: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2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Սոցիալական պաշպանություն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8685B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18,000.0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8685B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16,675.0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92.6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Պահուստային ֆոնդեր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8685B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10,096.4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8685B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0.0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</w:p>
        </w:tc>
      </w:tr>
      <w:tr w:rsidR="00BD6FAD" w:rsidRPr="00BD6FAD" w:rsidTr="0078685B">
        <w:tc>
          <w:tcPr>
            <w:tcW w:w="3745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BD6FAD" w:rsidP="00BD6FAD">
            <w:pPr>
              <w:spacing w:after="0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 w:rsidRPr="00BD6FAD">
              <w:rPr>
                <w:rFonts w:ascii="GHEA Grapalat" w:eastAsia="Times New Roman" w:hAnsi="GHEA Grapalat" w:cs="Times New Roman"/>
                <w:b/>
                <w:bCs/>
                <w:sz w:val="15"/>
                <w:lang w:eastAsia="ru-RU"/>
              </w:rPr>
              <w:t>Ընդամենը</w:t>
            </w:r>
          </w:p>
        </w:tc>
        <w:tc>
          <w:tcPr>
            <w:tcW w:w="237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2,256,372.9</w:t>
            </w:r>
          </w:p>
        </w:tc>
        <w:tc>
          <w:tcPr>
            <w:tcW w:w="1870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78685B" w:rsidRDefault="0078685B" w:rsidP="0078685B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1,941,930.9</w:t>
            </w:r>
          </w:p>
        </w:tc>
        <w:tc>
          <w:tcPr>
            <w:tcW w:w="1563" w:type="dxa"/>
            <w:tcBorders>
              <w:top w:val="single" w:sz="4" w:space="0" w:color="939393"/>
              <w:left w:val="single" w:sz="4" w:space="0" w:color="939393"/>
              <w:bottom w:val="single" w:sz="4" w:space="0" w:color="939393"/>
              <w:right w:val="single" w:sz="4" w:space="0" w:color="939393"/>
            </w:tcBorders>
            <w:tcMar>
              <w:top w:w="62" w:type="dxa"/>
              <w:left w:w="98" w:type="dxa"/>
              <w:bottom w:w="62" w:type="dxa"/>
              <w:right w:w="98" w:type="dxa"/>
            </w:tcMar>
            <w:vAlign w:val="bottom"/>
            <w:hideMark/>
          </w:tcPr>
          <w:p w:rsidR="00BD6FAD" w:rsidRPr="00BD6FAD" w:rsidRDefault="0078685B" w:rsidP="00BD6FAD">
            <w:pPr>
              <w:spacing w:after="185" w:line="240" w:lineRule="auto"/>
              <w:textAlignment w:val="baseline"/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15"/>
                <w:szCs w:val="15"/>
                <w:lang w:val="en-US" w:eastAsia="ru-RU"/>
              </w:rPr>
              <w:t>86.1</w:t>
            </w:r>
            <w:r w:rsidR="00BD6FAD" w:rsidRPr="00BD6FAD">
              <w:rPr>
                <w:rFonts w:ascii="GHEA Grapalat" w:eastAsia="Times New Roman" w:hAnsi="GHEA Grapalat" w:cs="Times New Roman"/>
                <w:sz w:val="15"/>
                <w:szCs w:val="15"/>
                <w:lang w:eastAsia="ru-RU"/>
              </w:rPr>
              <w:t>%</w:t>
            </w:r>
          </w:p>
        </w:tc>
      </w:tr>
    </w:tbl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</w:t>
      </w:r>
    </w:p>
    <w:p w:rsidR="00BD6FAD" w:rsidRPr="00B160CA" w:rsidRDefault="00FC62EC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2022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թվականի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կատարողականի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`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ըստ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բյուջետային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ծախսերի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գործառական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դասակարգման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բաժինների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և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տնտեսագիտական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դասակարգման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հոդվածների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խմբերի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վերլուծությամբ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(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բացառությամբ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պատվիրակված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լիազորությունների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)</w:t>
      </w:r>
      <w:proofErr w:type="gramStart"/>
      <w:r w:rsidR="00BD6FAD" w:rsidRPr="00FC62EC">
        <w:rPr>
          <w:rFonts w:ascii="Courier New" w:eastAsia="Times New Roman" w:hAnsi="Courier New" w:cs="Courier New"/>
          <w:color w:val="4B5C6A"/>
          <w:sz w:val="20"/>
          <w:szCs w:val="20"/>
          <w:lang w:val="en-US" w:eastAsia="ru-RU"/>
        </w:rPr>
        <w:t> </w:t>
      </w:r>
      <w:r w:rsidR="00BD6FAD" w:rsidRPr="00FC62EC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նախատեսված</w:t>
      </w:r>
      <w:proofErr w:type="gramEnd"/>
      <w:r w:rsidR="00BD6FAD" w:rsidRPr="00FC62EC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ցուցանիշներից</w:t>
      </w:r>
      <w:r w:rsidR="00BD6FAD" w:rsidRPr="00FC62EC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փաստացի</w:t>
      </w:r>
      <w:r w:rsidR="00BD6FAD" w:rsidRPr="00FC62EC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GHEA Grapalat"/>
          <w:color w:val="4B5C6A"/>
          <w:sz w:val="20"/>
          <w:szCs w:val="20"/>
          <w:lang w:eastAsia="ru-RU"/>
        </w:rPr>
        <w:t>կատ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արողականների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շեղումը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պայմանավորված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է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ծրագրերի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գծով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առկա</w:t>
      </w:r>
      <w:r w:rsidR="00BD6FAD" w:rsidRPr="00FC62EC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r w:rsidR="00BD6FAD"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տնտեսումներով։</w:t>
      </w:r>
    </w:p>
    <w:p w:rsidR="00422CE1" w:rsidRPr="00BD6FAD" w:rsidRDefault="00422CE1" w:rsidP="00422CE1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Ստորև ներկայացվում են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Արթիկ</w:t>
      </w:r>
      <w:proofErr w:type="spellEnd"/>
      <w:r w:rsidRPr="00422CE1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>համայնքի</w:t>
      </w:r>
      <w:proofErr w:type="spellEnd"/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20</w:t>
      </w:r>
      <w:r w:rsidRPr="00422CE1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>22</w:t>
      </w:r>
      <w:r w:rsidRPr="00BD6FAD"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  <w:t xml:space="preserve"> թվականի բյուջեով կատարված ծախսերի վերլուծությունը և հիմնավորումը՝ ըստ ծախսային ծրագրերի.</w:t>
      </w:r>
    </w:p>
    <w:p w:rsidR="00422CE1" w:rsidRPr="00CC7439" w:rsidRDefault="001E31B3" w:rsidP="00CC7439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Գյուղատնտեսություն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="001E0052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/04.2.1/ </w:t>
      </w:r>
      <w:r w:rsidR="00422CE1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ծրագրով փաստացի ծախսը կազմել է </w:t>
      </w:r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>7,758.5</w:t>
      </w:r>
      <w:r w:rsidR="00422CE1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հազար դրամ նախատեսված </w:t>
      </w:r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>11,371.5</w:t>
      </w:r>
      <w:r w:rsidR="00422CE1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հազար դրամի դիմաց, որի շրջանակներում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Հոռոմ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բնակավայրում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&lt;&lt;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Սառնարանային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տնտեսության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կառուցման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աշխատանքներ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&gt;&gt;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ծրագրի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իրականացման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8A359B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ներդրում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r w:rsidR="008A359B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և</w:t>
      </w:r>
      <w:r w:rsidR="008A359B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8A359B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կարկտակայանների</w:t>
      </w:r>
      <w:proofErr w:type="spellEnd"/>
      <w:r w:rsidR="008A359B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8A359B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պահպանման</w:t>
      </w:r>
      <w:proofErr w:type="spellEnd"/>
      <w:r w:rsidR="008A359B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8A359B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ծախսեր</w:t>
      </w:r>
      <w:proofErr w:type="spellEnd"/>
      <w:r w:rsidR="001E0052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>։</w:t>
      </w:r>
    </w:p>
    <w:p w:rsidR="00CC7439" w:rsidRPr="00630344" w:rsidRDefault="00CC7439" w:rsidP="00CC743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422CE1" w:rsidRPr="00CC7439" w:rsidRDefault="001E0052" w:rsidP="00CC7439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Ոռոգում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/04.2.4/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ծրագրով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փաստացի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ծախսը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կազմել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է</w:t>
      </w:r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9,627.6.0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դրամ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նախատեսված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31,997.0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.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դրամի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դիմաց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: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Նշված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գումարի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շրջանակներում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կատարվել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են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Արթիկ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համայնքի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սելավատարի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և</w:t>
      </w:r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ոռոգման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ցանցի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մաքրման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աշխատանքներ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ինչպես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նաև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Սպանդարյան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և</w:t>
      </w:r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Նոր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Կյանք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բնակավայրերի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ոռոգման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ցանցի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կառուցման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աշխատանքների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նախագծահետազոտական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ծախսեր</w:t>
      </w:r>
      <w:proofErr w:type="spellEnd"/>
      <w:r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>:</w:t>
      </w:r>
    </w:p>
    <w:p w:rsidR="00CC7439" w:rsidRDefault="00CC7439" w:rsidP="00CC7439">
      <w:pPr>
        <w:pStyle w:val="a6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CC7439" w:rsidRPr="00630344" w:rsidRDefault="00CC7439" w:rsidP="00CC743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422CE1" w:rsidRPr="00CC7439" w:rsidRDefault="008A359B" w:rsidP="00CC7439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Ճանապարհային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տրանսպորտ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/04.5.1</w:t>
      </w:r>
      <w:proofErr w:type="gramStart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/ 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ծրագրով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փաստացի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ծախսը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կազմել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165,511.8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նախատեսված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204,145.0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դիմաց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: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Նշված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գումարի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շրջանակներում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կատարվել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են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Արթիկ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համայնքի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Արթիկ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համայնքի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Պեմզաշեն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Նահապետավան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Սարալանջ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և</w:t>
      </w:r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Մեծ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Մանթաշ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բնակավայրերի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ջրամատակարարման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համակարգի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մասնակի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նորոգմոն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աշխատանքներ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՝</w:t>
      </w:r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22,032.0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հազ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դրամ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Արթիկ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համայնքի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փոսորակների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վերանորոգման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աշխատանքներ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՝</w:t>
      </w:r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36,776.9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հազ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դրամ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Մեծ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Մանթաշ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Արևշատ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Սպանդարյան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Գեղանիստ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Գետափ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Անուշավան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Նոր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Կյանք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Վարդաքար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Հովտաշեն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Հոռոմ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Լուսակերտ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Մեղրաշեն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Փանիկ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բնակավայրերի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փոսորակների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վերանորոգման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աշխատանքներ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՝</w:t>
      </w:r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30,400.0 </w:t>
      </w:r>
      <w:proofErr w:type="spell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հազ</w:t>
      </w:r>
      <w:proofErr w:type="spell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="00C36BA6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դրամ</w:t>
      </w:r>
      <w:proofErr w:type="spellEnd"/>
      <w:proofErr w:type="gramEnd"/>
      <w:r w:rsidR="00C36BA6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</w:t>
      </w:r>
      <w:proofErr w:type="spellStart"/>
      <w:r w:rsidR="00036D37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նախագծահետազոտական</w:t>
      </w:r>
      <w:proofErr w:type="spellEnd"/>
      <w:r w:rsidR="00036D37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036D37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ծախսեր</w:t>
      </w:r>
      <w:proofErr w:type="spellEnd"/>
      <w:r w:rsidR="00036D37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՝</w:t>
      </w:r>
      <w:r w:rsidR="00036D37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7,408.0 </w:t>
      </w:r>
      <w:proofErr w:type="spellStart"/>
      <w:r w:rsidR="00036D37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հազ</w:t>
      </w:r>
      <w:proofErr w:type="spellEnd"/>
      <w:r w:rsidR="00036D37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="00036D37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դրամ</w:t>
      </w:r>
      <w:proofErr w:type="spellEnd"/>
      <w:proofErr w:type="gramEnd"/>
      <w:r w:rsidR="00036D37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, տեխնիկական հսկողության, հեղինակային հսկողության </w:t>
      </w:r>
      <w:r w:rsidR="00036D37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և</w:t>
      </w:r>
      <w:r w:rsidR="00036D37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="00036D37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փորձաքննության</w:t>
      </w:r>
      <w:proofErr w:type="spellEnd"/>
      <w:r w:rsidR="00036D37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ծառայություններ՝ 3,555.0 </w:t>
      </w:r>
      <w:proofErr w:type="spellStart"/>
      <w:r w:rsidR="00036D37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հազ</w:t>
      </w:r>
      <w:proofErr w:type="spellEnd"/>
      <w:r w:rsidR="00036D37" w:rsidRPr="00630344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. </w:t>
      </w:r>
      <w:proofErr w:type="spellStart"/>
      <w:r w:rsidR="00036D37" w:rsidRPr="00630344"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դրամ</w:t>
      </w:r>
      <w:proofErr w:type="spellEnd"/>
      <w:r w:rsidR="00CC7439" w:rsidRPr="00CC7439">
        <w:rPr>
          <w:rFonts w:ascii="GHEA Grapalat" w:eastAsia="Times New Roman" w:hAnsi="GHEA Grapalat" w:cs="Times New Roman"/>
          <w:sz w:val="20"/>
          <w:szCs w:val="20"/>
          <w:lang w:eastAsia="ru-RU"/>
        </w:rPr>
        <w:t>:</w:t>
      </w:r>
    </w:p>
    <w:p w:rsidR="00CC7439" w:rsidRPr="00630344" w:rsidRDefault="00CC7439" w:rsidP="00CC743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422CE1" w:rsidRPr="00CC7439" w:rsidRDefault="00036D37" w:rsidP="00CC7439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Աղբահանում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/05.1.1/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ծրագրով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փաստացի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ծախսը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կազմել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108,354.4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նախատեսված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109,255.9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դրամի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դիմաց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: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Նշված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գումարի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շրջանակներում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կատարվել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աղբահանման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lastRenderedPageBreak/>
        <w:t>ծառայություններ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="00F1665F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49,945.8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սանիտարական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մաքրում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="00F1665F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>20,000.0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ձյան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մաքրման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ծառայություն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="00F1665F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17,068.7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: </w:t>
      </w:r>
    </w:p>
    <w:p w:rsidR="00CC7439" w:rsidRDefault="00CC7439" w:rsidP="00CC7439">
      <w:pPr>
        <w:pStyle w:val="a6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CC7439" w:rsidRPr="00630344" w:rsidRDefault="00CC7439" w:rsidP="00CC743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5E466D" w:rsidRPr="00CC7439" w:rsidRDefault="00F1665F" w:rsidP="00CC7439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Բնակարանային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շինարարություն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/06.1.1/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ծրագրով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փաստացի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ծախսը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կազմել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37,339.4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նախատեսված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37,498.1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դիմաց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: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Նշված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գումարի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շրջանակներում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կատարվել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Արթիկ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համայնքի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թվով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="005E466D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>6</w:t>
      </w:r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բազմաբնակարան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շենքերի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տանիքների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վերանորոգման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252EB3"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աշխատանքներ</w:t>
      </w:r>
      <w:proofErr w:type="spellEnd"/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>:</w:t>
      </w:r>
    </w:p>
    <w:p w:rsidR="00CC7439" w:rsidRPr="00430488" w:rsidRDefault="00CC7439" w:rsidP="00CC743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430488" w:rsidRPr="00CC7439" w:rsidRDefault="00430488" w:rsidP="00CC7439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Փողոցների</w:t>
      </w:r>
      <w:proofErr w:type="spellEnd"/>
      <w:r w:rsidRPr="00430488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լուսավորում</w:t>
      </w:r>
      <w:proofErr w:type="spellEnd"/>
      <w:r w:rsidRPr="00430488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/06.4.1/ </w:t>
      </w:r>
      <w:proofErr w:type="spellStart"/>
      <w:r>
        <w:rPr>
          <w:rFonts w:ascii="GHEA Grapalat" w:eastAsia="Times New Roman" w:hAnsi="GHEA Grapalat" w:cs="Times New Roman"/>
          <w:sz w:val="20"/>
          <w:szCs w:val="20"/>
          <w:lang w:val="en-US" w:eastAsia="ru-RU"/>
        </w:rPr>
        <w:t>ծրագրով</w:t>
      </w:r>
      <w:proofErr w:type="spellEnd"/>
      <w:r w:rsidRPr="00430488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փաստացի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ծախսը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կազմել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>185,796.2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նախատեսված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>226,622.6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դրամի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դիմաց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: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Նշված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գումարի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շրջանակներում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կատարվել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Արթիկ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Արևշատ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Գետափ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Հայկասար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Հովտաշեն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Հայրենյաց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Վարդաքար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Պեմզաշեն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Տուֆաշեն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Սարատակ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բնակավայրերի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փողոցային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լուսավորության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ցանցերի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ընդլայնման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աշխատանքներ</w:t>
      </w:r>
      <w:proofErr w:type="spellEnd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30,986.0 </w:t>
      </w:r>
      <w:proofErr w:type="spell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="00DE5234" w:rsidRPr="00DE523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="00DE523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արտաքին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լուսավորության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ցանցի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1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տարվա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ընթացքում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լուսատուների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շահագործում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և</w:t>
      </w:r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սպասարկում</w:t>
      </w:r>
      <w:proofErr w:type="spellEnd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10,560.0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: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Կապիտալ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դրամաշնորհ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էներգախնայողության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աջակցման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հիմնադրամին</w:t>
      </w:r>
      <w:proofErr w:type="spellEnd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46,000.0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r w:rsidR="000A607B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r w:rsidR="000A607B" w:rsidRPr="000A607B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: </w:t>
      </w:r>
    </w:p>
    <w:p w:rsidR="00CC7439" w:rsidRDefault="00CC7439" w:rsidP="00CC7439">
      <w:pPr>
        <w:pStyle w:val="a6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CC7439" w:rsidRPr="00630344" w:rsidRDefault="00CC7439" w:rsidP="00CC743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F1665F" w:rsidRPr="00CC7439" w:rsidRDefault="005E466D" w:rsidP="00CC7439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Մշակույքի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տներ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ակումբներ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կենտրոններ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/08.2.3/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ծրագրով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փաստացի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ծախսը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կազմել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129,721.4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նախատեսված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178,202.4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դրամի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դիմաց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: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Նշված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գումարի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շրջանակներում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կատարվել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Փանիկի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մշակույթի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տան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հիմնանորոգման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աշխատանքներ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="007D424A" w:rsidRPr="007D424A">
        <w:rPr>
          <w:rFonts w:ascii="GHEA Grapalat" w:eastAsia="Times New Roman" w:hAnsi="GHEA Grapalat" w:cs="Times New Roman"/>
          <w:sz w:val="20"/>
          <w:u w:val="single"/>
          <w:lang w:eastAsia="ru-RU"/>
        </w:rPr>
        <w:t>46,890.0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Սարալանջ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համայնքի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մշակույթի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տան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վերանորոգման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աշխատանքներ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13,730.5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="005E7F6C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>.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>:</w:t>
      </w:r>
      <w:r w:rsidR="00252EB3"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</w:p>
    <w:p w:rsidR="00CC7439" w:rsidRPr="007D424A" w:rsidRDefault="00CC7439" w:rsidP="00CC743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430488" w:rsidRPr="00CC7439" w:rsidRDefault="00430488" w:rsidP="00CC7439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Կրթություն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/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այլ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դասերին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չպատկանող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/ /09.8.1/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ծրագրով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փաստացի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ծախսը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կազմել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20,381.4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նախատեսված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30,994.0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դրամի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դիմաց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: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Նշված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գումարի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շրջանակներում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կատարվել</w:t>
      </w:r>
      <w:proofErr w:type="spellEnd"/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 w:rsidRPr="00630344"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630344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կապիտալ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դրամաշնորհ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Հայաստանի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տարածքային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զարգացման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հիմնադրամին</w:t>
      </w:r>
      <w:proofErr w:type="spellEnd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Նոր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Կյանք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բնակավայրի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մանկապարտեզի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շենքի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կառուցման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համար</w:t>
      </w:r>
      <w:proofErr w:type="spellEnd"/>
      <w:r w:rsidRPr="00430488">
        <w:rPr>
          <w:rFonts w:ascii="GHEA Grapalat" w:eastAsia="Times New Roman" w:hAnsi="GHEA Grapalat" w:cs="Times New Roman"/>
          <w:sz w:val="20"/>
          <w:u w:val="single"/>
          <w:lang w:eastAsia="ru-RU"/>
        </w:rPr>
        <w:t>:</w:t>
      </w:r>
    </w:p>
    <w:p w:rsidR="00CC7439" w:rsidRPr="00430488" w:rsidRDefault="00CC7439" w:rsidP="00CC7439">
      <w:pPr>
        <w:shd w:val="clear" w:color="auto" w:fill="FFFFFF"/>
        <w:spacing w:after="0" w:line="240" w:lineRule="auto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</w:p>
    <w:p w:rsidR="007D424A" w:rsidRPr="00CC7439" w:rsidRDefault="00CC7439" w:rsidP="00CC7439">
      <w:pPr>
        <w:shd w:val="clear" w:color="auto" w:fill="FFFFFF"/>
        <w:spacing w:after="0"/>
        <w:textAlignment w:val="baseline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proofErr w:type="spellStart"/>
      <w:proofErr w:type="gram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Առ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31/12/2022</w:t>
      </w:r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թ</w:t>
      </w:r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>-</w:t>
      </w:r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ի</w:t>
      </w:r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դրությամբ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Արթիկ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համայնքի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բյուջեի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վարչական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մասի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միջոցների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տարեսկզբի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ազատ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մնացորդը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կազմել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է</w:t>
      </w:r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157,171.8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>.</w:t>
      </w:r>
      <w:proofErr w:type="gram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իսկ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համայնքի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բյուջեի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ֆոնդային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մասի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միջոցների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տարեսկզբի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ազատ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մնացորդը</w:t>
      </w:r>
      <w:proofErr w:type="spellEnd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՝</w:t>
      </w:r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 87,778.6 </w:t>
      </w:r>
      <w:proofErr w:type="spell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հազ</w:t>
      </w:r>
      <w:proofErr w:type="spell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 xml:space="preserve">. </w:t>
      </w:r>
      <w:proofErr w:type="spellStart"/>
      <w:proofErr w:type="gramStart"/>
      <w:r>
        <w:rPr>
          <w:rFonts w:ascii="GHEA Grapalat" w:eastAsia="Times New Roman" w:hAnsi="GHEA Grapalat" w:cs="Times New Roman"/>
          <w:sz w:val="20"/>
          <w:u w:val="single"/>
          <w:lang w:val="en-US" w:eastAsia="ru-RU"/>
        </w:rPr>
        <w:t>դրամ</w:t>
      </w:r>
      <w:proofErr w:type="spellEnd"/>
      <w:proofErr w:type="gramEnd"/>
      <w:r w:rsidRPr="00CC7439">
        <w:rPr>
          <w:rFonts w:ascii="GHEA Grapalat" w:eastAsia="Times New Roman" w:hAnsi="GHEA Grapalat" w:cs="Times New Roman"/>
          <w:sz w:val="20"/>
          <w:u w:val="single"/>
          <w:lang w:eastAsia="ru-RU"/>
        </w:rPr>
        <w:t>:</w:t>
      </w:r>
    </w:p>
    <w:p w:rsidR="00422CE1" w:rsidRDefault="00422CE1" w:rsidP="00422CE1"/>
    <w:p w:rsidR="00812BC7" w:rsidRPr="002E6B91" w:rsidRDefault="002E6B91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</w:pPr>
      <w:r>
        <w:rPr>
          <w:rFonts w:ascii="GHEA Grapalat" w:eastAsia="Times New Roman" w:hAnsi="GHEA Grapalat" w:cs="Times New Roman"/>
          <w:color w:val="4B5C6A"/>
          <w:sz w:val="20"/>
          <w:szCs w:val="20"/>
          <w:lang w:val="en-US" w:eastAsia="ru-RU"/>
        </w:rPr>
        <w:t xml:space="preserve">  </w:t>
      </w: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812BC7" w:rsidRPr="00B160CA" w:rsidRDefault="00812BC7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</w:p>
    <w:p w:rsidR="00BD6FAD" w:rsidRPr="00BD6FAD" w:rsidRDefault="00BD6FAD" w:rsidP="00BD6FAD">
      <w:pPr>
        <w:shd w:val="clear" w:color="auto" w:fill="FFFFFF"/>
        <w:spacing w:after="185" w:line="240" w:lineRule="auto"/>
        <w:textAlignment w:val="baseline"/>
        <w:rPr>
          <w:rFonts w:ascii="GHEA Grapalat" w:eastAsia="Times New Roman" w:hAnsi="GHEA Grapalat" w:cs="Times New Roman"/>
          <w:color w:val="4B5C6A"/>
          <w:sz w:val="20"/>
          <w:szCs w:val="20"/>
          <w:lang w:eastAsia="ru-RU"/>
        </w:rPr>
      </w:pPr>
      <w:r w:rsidRPr="00BD6FAD">
        <w:rPr>
          <w:rFonts w:ascii="Courier New" w:eastAsia="Times New Roman" w:hAnsi="Courier New" w:cs="Courier New"/>
          <w:color w:val="4B5C6A"/>
          <w:sz w:val="20"/>
          <w:szCs w:val="20"/>
          <w:lang w:eastAsia="ru-RU"/>
        </w:rPr>
        <w:t> </w:t>
      </w:r>
    </w:p>
    <w:sectPr w:rsidR="00BD6FAD" w:rsidRPr="00BD6FAD" w:rsidSect="0098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031"/>
    <w:multiLevelType w:val="multilevel"/>
    <w:tmpl w:val="A204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4F"/>
    <w:multiLevelType w:val="multilevel"/>
    <w:tmpl w:val="551C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F3C81"/>
    <w:multiLevelType w:val="multilevel"/>
    <w:tmpl w:val="AD9A7E5C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06C54"/>
    <w:multiLevelType w:val="multilevel"/>
    <w:tmpl w:val="292E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200AD"/>
    <w:multiLevelType w:val="multilevel"/>
    <w:tmpl w:val="1E7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47CA8"/>
    <w:multiLevelType w:val="multilevel"/>
    <w:tmpl w:val="2972487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938DE"/>
    <w:multiLevelType w:val="multilevel"/>
    <w:tmpl w:val="D7929F9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9701E"/>
    <w:multiLevelType w:val="multilevel"/>
    <w:tmpl w:val="DD4C6C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B4AE4"/>
    <w:multiLevelType w:val="multilevel"/>
    <w:tmpl w:val="0DAE3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FC1581"/>
    <w:multiLevelType w:val="multilevel"/>
    <w:tmpl w:val="2EB8A1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913852"/>
    <w:multiLevelType w:val="multilevel"/>
    <w:tmpl w:val="E18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51720"/>
    <w:multiLevelType w:val="multilevel"/>
    <w:tmpl w:val="68F4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C693C"/>
    <w:multiLevelType w:val="multilevel"/>
    <w:tmpl w:val="C696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515AA"/>
    <w:multiLevelType w:val="multilevel"/>
    <w:tmpl w:val="A3EC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625C9"/>
    <w:multiLevelType w:val="multilevel"/>
    <w:tmpl w:val="9C9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16284E"/>
    <w:multiLevelType w:val="multilevel"/>
    <w:tmpl w:val="E59A026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F4E0E"/>
    <w:multiLevelType w:val="multilevel"/>
    <w:tmpl w:val="4B3CC64C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246CE"/>
    <w:multiLevelType w:val="multilevel"/>
    <w:tmpl w:val="4676759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57AD4"/>
    <w:multiLevelType w:val="multilevel"/>
    <w:tmpl w:val="D4A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975772"/>
    <w:multiLevelType w:val="multilevel"/>
    <w:tmpl w:val="DB14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F488F"/>
    <w:multiLevelType w:val="multilevel"/>
    <w:tmpl w:val="D668064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42C72"/>
    <w:multiLevelType w:val="multilevel"/>
    <w:tmpl w:val="BBA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6D18BB"/>
    <w:multiLevelType w:val="multilevel"/>
    <w:tmpl w:val="E0E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C03CA"/>
    <w:multiLevelType w:val="multilevel"/>
    <w:tmpl w:val="33C6C3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0860C4"/>
    <w:multiLevelType w:val="multilevel"/>
    <w:tmpl w:val="35E8761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B34E4"/>
    <w:multiLevelType w:val="multilevel"/>
    <w:tmpl w:val="BBEAA74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B7AAC"/>
    <w:multiLevelType w:val="multilevel"/>
    <w:tmpl w:val="CC7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A7482"/>
    <w:multiLevelType w:val="multilevel"/>
    <w:tmpl w:val="EA8A303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3356B1"/>
    <w:multiLevelType w:val="multilevel"/>
    <w:tmpl w:val="28C8FE96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35324B"/>
    <w:multiLevelType w:val="multilevel"/>
    <w:tmpl w:val="3EA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561C0D"/>
    <w:multiLevelType w:val="multilevel"/>
    <w:tmpl w:val="974E2C76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852F36"/>
    <w:multiLevelType w:val="multilevel"/>
    <w:tmpl w:val="AF52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C0C43"/>
    <w:multiLevelType w:val="multilevel"/>
    <w:tmpl w:val="4C32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506877"/>
    <w:multiLevelType w:val="multilevel"/>
    <w:tmpl w:val="DEA0381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6023A1"/>
    <w:multiLevelType w:val="multilevel"/>
    <w:tmpl w:val="40D4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11340B"/>
    <w:multiLevelType w:val="multilevel"/>
    <w:tmpl w:val="83D03CA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CD116B"/>
    <w:multiLevelType w:val="multilevel"/>
    <w:tmpl w:val="D642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8"/>
  </w:num>
  <w:num w:numId="5">
    <w:abstractNumId w:val="9"/>
  </w:num>
  <w:num w:numId="6">
    <w:abstractNumId w:val="3"/>
  </w:num>
  <w:num w:numId="7">
    <w:abstractNumId w:val="20"/>
  </w:num>
  <w:num w:numId="8">
    <w:abstractNumId w:val="14"/>
  </w:num>
  <w:num w:numId="9">
    <w:abstractNumId w:val="7"/>
  </w:num>
  <w:num w:numId="10">
    <w:abstractNumId w:val="10"/>
  </w:num>
  <w:num w:numId="11">
    <w:abstractNumId w:val="27"/>
  </w:num>
  <w:num w:numId="12">
    <w:abstractNumId w:val="29"/>
  </w:num>
  <w:num w:numId="13">
    <w:abstractNumId w:val="23"/>
  </w:num>
  <w:num w:numId="14">
    <w:abstractNumId w:val="32"/>
  </w:num>
  <w:num w:numId="15">
    <w:abstractNumId w:val="24"/>
  </w:num>
  <w:num w:numId="16">
    <w:abstractNumId w:val="12"/>
  </w:num>
  <w:num w:numId="17">
    <w:abstractNumId w:val="6"/>
  </w:num>
  <w:num w:numId="18">
    <w:abstractNumId w:val="19"/>
  </w:num>
  <w:num w:numId="19">
    <w:abstractNumId w:val="5"/>
  </w:num>
  <w:num w:numId="20">
    <w:abstractNumId w:val="34"/>
  </w:num>
  <w:num w:numId="21">
    <w:abstractNumId w:val="28"/>
  </w:num>
  <w:num w:numId="22">
    <w:abstractNumId w:val="22"/>
  </w:num>
  <w:num w:numId="23">
    <w:abstractNumId w:val="35"/>
  </w:num>
  <w:num w:numId="24">
    <w:abstractNumId w:val="31"/>
  </w:num>
  <w:num w:numId="25">
    <w:abstractNumId w:val="2"/>
  </w:num>
  <w:num w:numId="26">
    <w:abstractNumId w:val="4"/>
  </w:num>
  <w:num w:numId="27">
    <w:abstractNumId w:val="17"/>
  </w:num>
  <w:num w:numId="28">
    <w:abstractNumId w:val="26"/>
  </w:num>
  <w:num w:numId="29">
    <w:abstractNumId w:val="33"/>
  </w:num>
  <w:num w:numId="30">
    <w:abstractNumId w:val="0"/>
  </w:num>
  <w:num w:numId="31">
    <w:abstractNumId w:val="30"/>
  </w:num>
  <w:num w:numId="32">
    <w:abstractNumId w:val="1"/>
  </w:num>
  <w:num w:numId="33">
    <w:abstractNumId w:val="15"/>
  </w:num>
  <w:num w:numId="34">
    <w:abstractNumId w:val="21"/>
  </w:num>
  <w:num w:numId="35">
    <w:abstractNumId w:val="16"/>
  </w:num>
  <w:num w:numId="36">
    <w:abstractNumId w:val="36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D6FAD"/>
    <w:rsid w:val="000076B2"/>
    <w:rsid w:val="00036D37"/>
    <w:rsid w:val="000A607B"/>
    <w:rsid w:val="000C1129"/>
    <w:rsid w:val="0011103A"/>
    <w:rsid w:val="00152B0C"/>
    <w:rsid w:val="00192ACB"/>
    <w:rsid w:val="001C75EF"/>
    <w:rsid w:val="001E0052"/>
    <w:rsid w:val="001E2989"/>
    <w:rsid w:val="001E31B3"/>
    <w:rsid w:val="001E34B7"/>
    <w:rsid w:val="00252EB3"/>
    <w:rsid w:val="002B124A"/>
    <w:rsid w:val="002E6B91"/>
    <w:rsid w:val="002F337C"/>
    <w:rsid w:val="00422CE1"/>
    <w:rsid w:val="00430488"/>
    <w:rsid w:val="00457C96"/>
    <w:rsid w:val="005943F0"/>
    <w:rsid w:val="005E466D"/>
    <w:rsid w:val="005E7F6C"/>
    <w:rsid w:val="00624E9F"/>
    <w:rsid w:val="00630344"/>
    <w:rsid w:val="0063227A"/>
    <w:rsid w:val="00640A68"/>
    <w:rsid w:val="00667967"/>
    <w:rsid w:val="006A1D42"/>
    <w:rsid w:val="007007BB"/>
    <w:rsid w:val="00717C12"/>
    <w:rsid w:val="00734E61"/>
    <w:rsid w:val="0078685B"/>
    <w:rsid w:val="007D424A"/>
    <w:rsid w:val="007E224B"/>
    <w:rsid w:val="00800EEF"/>
    <w:rsid w:val="00812BC7"/>
    <w:rsid w:val="008A359B"/>
    <w:rsid w:val="0098545D"/>
    <w:rsid w:val="009B7025"/>
    <w:rsid w:val="009C392F"/>
    <w:rsid w:val="00A662A4"/>
    <w:rsid w:val="00AE11FB"/>
    <w:rsid w:val="00AE21BC"/>
    <w:rsid w:val="00B11CAC"/>
    <w:rsid w:val="00B160CA"/>
    <w:rsid w:val="00B307CE"/>
    <w:rsid w:val="00B30F31"/>
    <w:rsid w:val="00B500D2"/>
    <w:rsid w:val="00B922CD"/>
    <w:rsid w:val="00BD6FAD"/>
    <w:rsid w:val="00BF66CD"/>
    <w:rsid w:val="00C36BA6"/>
    <w:rsid w:val="00C92E5A"/>
    <w:rsid w:val="00CC7439"/>
    <w:rsid w:val="00D470EB"/>
    <w:rsid w:val="00D80B70"/>
    <w:rsid w:val="00DE5234"/>
    <w:rsid w:val="00E716B4"/>
    <w:rsid w:val="00E868FB"/>
    <w:rsid w:val="00EF094F"/>
    <w:rsid w:val="00F13F5C"/>
    <w:rsid w:val="00F1665F"/>
    <w:rsid w:val="00F559D9"/>
    <w:rsid w:val="00F733F9"/>
    <w:rsid w:val="00F84D42"/>
    <w:rsid w:val="00FC62EC"/>
    <w:rsid w:val="00FF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FAD"/>
    <w:rPr>
      <w:b/>
      <w:bCs/>
    </w:rPr>
  </w:style>
  <w:style w:type="character" w:styleId="a5">
    <w:name w:val="Emphasis"/>
    <w:basedOn w:val="a0"/>
    <w:uiPriority w:val="20"/>
    <w:qFormat/>
    <w:rsid w:val="00BD6FAD"/>
    <w:rPr>
      <w:i/>
      <w:iCs/>
    </w:rPr>
  </w:style>
  <w:style w:type="paragraph" w:styleId="a6">
    <w:name w:val="List Paragraph"/>
    <w:basedOn w:val="a"/>
    <w:uiPriority w:val="34"/>
    <w:qFormat/>
    <w:rsid w:val="00CC7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646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551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4163">
          <w:marLeft w:val="0"/>
          <w:marRight w:val="0"/>
          <w:marTop w:val="0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B5C6F-B100-4C1B-B9F7-19310772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ww</cp:lastModifiedBy>
  <cp:revision>27</cp:revision>
  <cp:lastPrinted>2023-02-16T11:51:00Z</cp:lastPrinted>
  <dcterms:created xsi:type="dcterms:W3CDTF">2023-02-04T06:14:00Z</dcterms:created>
  <dcterms:modified xsi:type="dcterms:W3CDTF">2023-02-16T11:57:00Z</dcterms:modified>
</cp:coreProperties>
</file>